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9D2A60">
      <w:pPr>
        <w:spacing w:after="156" w:afterLines="50" w:line="560" w:lineRule="exact"/>
        <w:rPr>
          <w:rFonts w:ascii="黑体" w:hAnsi="黑体" w:eastAsia="黑体"/>
          <w:sz w:val="32"/>
          <w:szCs w:val="32"/>
        </w:rPr>
      </w:pPr>
    </w:p>
    <w:p w14:paraId="07997681">
      <w:pPr>
        <w:spacing w:after="156" w:afterLines="50" w:line="560" w:lineRule="exact"/>
        <w:rPr>
          <w:rFonts w:ascii="黑体" w:hAnsi="黑体" w:eastAsia="黑体"/>
          <w:sz w:val="32"/>
          <w:szCs w:val="32"/>
        </w:rPr>
      </w:pPr>
    </w:p>
    <w:p w14:paraId="738A7D73">
      <w:pPr>
        <w:spacing w:after="156" w:afterLines="50" w:line="560" w:lineRule="exact"/>
        <w:rPr>
          <w:rFonts w:ascii="黑体" w:hAnsi="黑体" w:eastAsia="黑体"/>
          <w:sz w:val="32"/>
          <w:szCs w:val="32"/>
        </w:rPr>
      </w:pPr>
    </w:p>
    <w:p w14:paraId="7212F99D">
      <w:pPr>
        <w:spacing w:after="156" w:afterLines="50" w:line="560" w:lineRule="exact"/>
        <w:rPr>
          <w:rFonts w:ascii="黑体" w:hAnsi="黑体" w:eastAsia="黑体"/>
          <w:sz w:val="32"/>
          <w:szCs w:val="32"/>
        </w:rPr>
      </w:pPr>
    </w:p>
    <w:p w14:paraId="62D21E5A"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52"/>
          <w:szCs w:val="52"/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sz w:val="52"/>
          <w:szCs w:val="52"/>
        </w:rPr>
        <w:t>中国电子科技财务有限公司</w:t>
      </w:r>
      <w:bookmarkEnd w:id="1"/>
    </w:p>
    <w:p w14:paraId="216B5970">
      <w:pPr>
        <w:spacing w:line="560" w:lineRule="exact"/>
        <w:ind w:left="-525" w:leftChars="-250"/>
        <w:jc w:val="center"/>
        <w:rPr>
          <w:rFonts w:ascii="方正小标宋简体" w:hAnsi="方正小标宋简体" w:eastAsia="方正小标宋简体" w:cs="方正小标宋简体"/>
          <w:sz w:val="30"/>
          <w:szCs w:val="30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0"/>
          <w:szCs w:val="30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32"/>
          <w:szCs w:val="30"/>
        </w:rPr>
        <w:t xml:space="preserve">  </w:t>
      </w:r>
      <w:r>
        <w:rPr>
          <w:rFonts w:ascii="方正小标宋简体" w:hAnsi="方正小标宋简体" w:eastAsia="方正小标宋简体" w:cs="方正小标宋简体"/>
          <w:color w:val="000000"/>
          <w:kern w:val="0"/>
          <w:sz w:val="36"/>
          <w:szCs w:val="30"/>
        </w:rPr>
        <w:t>CETC FINANCE CO., LTD.</w:t>
      </w:r>
    </w:p>
    <w:p w14:paraId="3C39C5EB">
      <w:pPr>
        <w:spacing w:line="560" w:lineRule="exact"/>
        <w:jc w:val="center"/>
        <w:rPr>
          <w:rFonts w:ascii="黑体" w:hAnsi="黑体" w:eastAsia="黑体" w:cs="黑体"/>
          <w:sz w:val="32"/>
          <w:szCs w:val="32"/>
        </w:rPr>
      </w:pPr>
    </w:p>
    <w:p w14:paraId="296E1105"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</w:p>
    <w:p w14:paraId="4765E547"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</w:p>
    <w:p w14:paraId="6B0D78B6"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</w:p>
    <w:p w14:paraId="0B7F382F"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</w:p>
    <w:p w14:paraId="04D727F3"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</w:p>
    <w:p w14:paraId="7742EB9C">
      <w:pPr>
        <w:spacing w:line="560" w:lineRule="exact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                     </w:t>
      </w:r>
    </w:p>
    <w:p w14:paraId="706936C8">
      <w:pPr>
        <w:spacing w:line="560" w:lineRule="exact"/>
        <w:jc w:val="left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                   </w:t>
      </w:r>
      <w:r>
        <w:rPr>
          <w:rFonts w:hint="eastAsia" w:ascii="黑体" w:hAnsi="黑体" w:eastAsia="黑体" w:cs="黑体"/>
          <w:sz w:val="36"/>
          <w:szCs w:val="36"/>
        </w:rPr>
        <w:t xml:space="preserve">   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4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年</w:t>
      </w:r>
    </w:p>
    <w:p w14:paraId="2D7C25EE">
      <w:pPr>
        <w:spacing w:line="560" w:lineRule="exact"/>
        <w:jc w:val="left"/>
        <w:rPr>
          <w:rFonts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 xml:space="preserve">                年度信息披露报告</w:t>
      </w:r>
    </w:p>
    <w:p w14:paraId="4A8B4A14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6D298320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568C804A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1ECF8A5F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5D551CAE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304C5152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222E7FCD">
      <w:pPr>
        <w:spacing w:after="156" w:afterLines="50" w:line="560" w:lineRule="exact"/>
        <w:rPr>
          <w:rFonts w:hint="eastAsia" w:asciiTheme="majorEastAsia" w:hAnsiTheme="majorEastAsia" w:eastAsiaTheme="majorEastAsia"/>
          <w:b/>
          <w:sz w:val="44"/>
          <w:szCs w:val="44"/>
        </w:rPr>
      </w:pPr>
    </w:p>
    <w:p w14:paraId="098DAD87"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一、公司基本信息</w:t>
      </w:r>
    </w:p>
    <w:p w14:paraId="2A2F089A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公司名称</w:t>
      </w:r>
      <w:r>
        <w:rPr>
          <w:rFonts w:hint="eastAsia" w:ascii="仿宋_GB2312" w:eastAsia="仿宋_GB2312" w:hAnsiTheme="majorEastAsia"/>
          <w:sz w:val="32"/>
          <w:szCs w:val="32"/>
        </w:rPr>
        <w:t>：中国电子科技财务有限公司</w:t>
      </w:r>
    </w:p>
    <w:p w14:paraId="58EB5678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英文名称：CETC FINANCE CO., LTD.</w:t>
      </w:r>
    </w:p>
    <w:p w14:paraId="2BE4060F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成立时间：2012年12月14日</w:t>
      </w:r>
    </w:p>
    <w:p w14:paraId="026F3542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注册资本：580,000万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ajorEastAsia"/>
          <w:sz w:val="32"/>
          <w:szCs w:val="32"/>
        </w:rPr>
        <w:t>元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）</w:t>
      </w:r>
    </w:p>
    <w:p w14:paraId="0CC250E5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注册地址：北京市石景山区金府路30号院2号楼101 1、3-8层</w:t>
      </w:r>
    </w:p>
    <w:p w14:paraId="533B5307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经营范围：吸收成员单位存款；办理成员单位贷款；办理成员单位票据贴现；办理成员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单位资金结算与收付；提供成员单位委托贷款、债券承销、非融资性保函、财务顾问、信用鉴证及咨询代理服务；从事同业拆借；办理成员单位票据承兑；办理成员单位产品买方信贷和消费信贷；从事固定收益类有价证券投资。（注：经营范围为《企业集团财务公司管理办法》修订发布后</w:t>
      </w:r>
      <w:r>
        <w:rPr>
          <w:rFonts w:hint="eastAsia" w:ascii="仿宋_GB2312" w:eastAsia="仿宋_GB2312" w:hAnsiTheme="majorEastAsia"/>
          <w:sz w:val="32"/>
          <w:szCs w:val="32"/>
        </w:rPr>
        <w:t>，2024年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国家金融监督管理总局北京监管局批准范围）</w:t>
      </w:r>
    </w:p>
    <w:p w14:paraId="29C30353">
      <w:pPr>
        <w:spacing w:line="360" w:lineRule="auto"/>
        <w:ind w:firstLine="640" w:firstLineChars="200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法定代表人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：杨志军</w:t>
      </w:r>
    </w:p>
    <w:p w14:paraId="7E79F672">
      <w:pPr>
        <w:spacing w:line="360" w:lineRule="auto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二、公司治理信息</w:t>
      </w:r>
    </w:p>
    <w:p w14:paraId="0CF00965">
      <w:pPr>
        <w:spacing w:line="360" w:lineRule="auto"/>
        <w:ind w:firstLine="640" w:firstLineChars="200"/>
        <w:rPr>
          <w:rFonts w:ascii="仿宋_GB2312" w:hAnsi="仿宋_GB2312" w:eastAsia="仿宋_GB2312" w:cs="仿宋_GB2312"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中国电子科技财务有限公司（以下简称“电科财务公司”）能够按照《中华人民共和国公司法》《银行保险机构公司治理准则》等法律法规及监管规定，建立完善包括股东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  <w:lang w:val="en-US" w:eastAsia="zh-CN"/>
        </w:rPr>
        <w:t>会</w:t>
      </w:r>
      <w:r>
        <w:rPr>
          <w:rFonts w:hint="eastAsia" w:ascii="仿宋_GB2312" w:hAnsi="仿宋_GB2312" w:eastAsia="仿宋_GB2312" w:cs="仿宋_GB2312"/>
          <w:bCs/>
          <w:color w:val="000000"/>
          <w:kern w:val="0"/>
          <w:sz w:val="32"/>
          <w:szCs w:val="32"/>
        </w:rPr>
        <w:t>、董事会、高级管理层等治理主体在内的公司治理架构，明确各治理主体的职责边界、履职要求，完善风险管控、制衡监督及激励约束机制，不断提升公司治理水平。</w:t>
      </w:r>
    </w:p>
    <w:p w14:paraId="760B9EC5">
      <w:pPr>
        <w:spacing w:line="360" w:lineRule="auto"/>
        <w:ind w:firstLine="643" w:firstLineChars="200"/>
        <w:rPr>
          <w:rFonts w:ascii="仿宋_GB2312" w:hAnsi="黑体" w:eastAsia="仿宋_GB2312" w:cs="黑体"/>
          <w:b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（一）实际控制人及其控制本公司情况</w:t>
      </w:r>
    </w:p>
    <w:p w14:paraId="0A04A68E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电科财务公司控股股</w:t>
      </w:r>
      <w:r>
        <w:rPr>
          <w:rFonts w:hint="eastAsia" w:ascii="仿宋_GB2312" w:eastAsia="仿宋_GB2312" w:hAnsiTheme="majorEastAsia"/>
          <w:sz w:val="32"/>
          <w:szCs w:val="32"/>
        </w:rPr>
        <w:t>东为中国电子科技集团有限公司（以下简称“集团公司”），持股比例为32.62%。</w:t>
      </w:r>
    </w:p>
    <w:p w14:paraId="348CDA96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（二）持股比例在5%以上的股东及其报告期内股权变化情况</w:t>
      </w:r>
    </w:p>
    <w:p w14:paraId="3966DB7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电科财务公司持股比例在5%以上的股东共6家分别为中国电子科技集团有限公司（持股32.62%）、中国电子科技集团公司第十研究所（持股6.11%）、中国电子科技集团第三十六研究所（持股6.11%）、中国电子科技集团第三十八研究所（持股6.11%）、中国电子科技集团第四十一研究所（持股6.11%）、中电海康集团有限公司（持股5.68%）。报告期内，电科财务公司股东持股情况无变化。</w:t>
      </w:r>
    </w:p>
    <w:p w14:paraId="79F54E98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（三）股东会基本情况</w:t>
      </w:r>
    </w:p>
    <w:p w14:paraId="7AB13BDF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1.股东会职责</w:t>
      </w:r>
    </w:p>
    <w:p w14:paraId="1CA411F0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电科财务公司股东会由全体股东组成，是公司的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最高权力机构</w:t>
      </w:r>
      <w:r>
        <w:rPr>
          <w:rFonts w:hint="eastAsia" w:ascii="仿宋_GB2312" w:eastAsia="仿宋_GB2312" w:hAnsiTheme="majorEastAsia"/>
          <w:sz w:val="32"/>
          <w:szCs w:val="32"/>
        </w:rPr>
        <w:t>，主要行使</w:t>
      </w:r>
      <w:bookmarkStart w:id="0" w:name="OLE_LINK1"/>
      <w:r>
        <w:rPr>
          <w:rFonts w:hint="eastAsia" w:ascii="仿宋_GB2312" w:eastAsia="仿宋_GB2312" w:hAnsiTheme="majorEastAsia"/>
          <w:sz w:val="32"/>
          <w:szCs w:val="32"/>
        </w:rPr>
        <w:t>决定公司发展战略和中长期发展规划；决定公司的经营方针、经营范围；决定公司的投资计划；选举和更换非由职工代表担任的董事、监事，决定有关董事、监事的报酬事项；审议批准董事会的工作报告；审议批准监事会的工作报告；审议批准公司的年度财务预算方案、决算方案；审议批准公司的利润分配方案和弥补亏损方案；对公司增加或者减少注册资本作出决议等职权。</w:t>
      </w:r>
    </w:p>
    <w:p w14:paraId="14317623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2.报告期内股东会召开情况</w:t>
      </w:r>
    </w:p>
    <w:p w14:paraId="232FEDFB">
      <w:pPr>
        <w:widowControl/>
        <w:shd w:val="clear" w:color="auto" w:fill="FFFFFF"/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2024年电科财务公司共召开3次股东会。</w:t>
      </w:r>
    </w:p>
    <w:p w14:paraId="1A3C97B4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2024年4月25日在北京以现场会议形式召开202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年第一次股东会，26家股东单位参会，全票审议通过了2023年董事会工作总结及2024年工作计划、202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 w:hAnsiTheme="majorEastAsia"/>
          <w:sz w:val="32"/>
          <w:szCs w:val="32"/>
        </w:rPr>
        <w:t>年决算及202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年度预算、202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 w:hAnsiTheme="majorEastAsia"/>
          <w:sz w:val="32"/>
          <w:szCs w:val="32"/>
        </w:rPr>
        <w:t>年度股东分红方案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、修订《股东分红暂行办法》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以及听取2023年度董事、监事和经营管理层履职评价报告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的议案</w:t>
      </w:r>
      <w:r>
        <w:rPr>
          <w:rFonts w:hint="eastAsia" w:ascii="仿宋_GB2312" w:eastAsia="仿宋_GB2312" w:hAnsiTheme="majorEastAsia"/>
          <w:sz w:val="32"/>
          <w:szCs w:val="32"/>
        </w:rPr>
        <w:t>共6项议案。</w:t>
      </w:r>
    </w:p>
    <w:p w14:paraId="317A9DDB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8</w:t>
      </w:r>
      <w:r>
        <w:rPr>
          <w:rFonts w:hint="eastAsia" w:ascii="仿宋_GB2312" w:eastAsia="仿宋_GB2312" w:hAnsiTheme="majorEastAsia"/>
          <w:sz w:val="32"/>
          <w:szCs w:val="32"/>
        </w:rPr>
        <w:t>月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21</w:t>
      </w:r>
      <w:r>
        <w:rPr>
          <w:rFonts w:hint="eastAsia" w:ascii="仿宋_GB2312" w:eastAsia="仿宋_GB2312" w:hAnsiTheme="majorEastAsia"/>
          <w:sz w:val="32"/>
          <w:szCs w:val="32"/>
        </w:rPr>
        <w:t>日召开202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年第二次股东会，26家股东单位表决通过了2024年度投资计划的议案。</w:t>
      </w:r>
    </w:p>
    <w:p w14:paraId="1B522E16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2024年11月19日召开202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年第三次股东会，26家股东单位表决通过了改选董事的议案。</w:t>
      </w:r>
    </w:p>
    <w:p w14:paraId="0CB13C3C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上述股东会严格按照有关法律法规及监管要求召集、召开，财务公司董事、高级管理人员出席会议并与股东就其关心的问题进行了交流。</w:t>
      </w:r>
    </w:p>
    <w:p w14:paraId="1B38EE0E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3.董事会对股东大会决议的执行情况</w:t>
      </w:r>
    </w:p>
    <w:p w14:paraId="4E1548BB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报告期内，电科财务公司董事会全面执行股东会审议批准的各项决议，认真落实股东会审议通过的202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 w:hAnsiTheme="majorEastAsia"/>
          <w:sz w:val="32"/>
          <w:szCs w:val="32"/>
        </w:rPr>
        <w:t>年度股东分红方案、202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年度预算、投资计划、改选董事等议案。</w:t>
      </w:r>
    </w:p>
    <w:p w14:paraId="2F46CF43">
      <w:pPr>
        <w:widowControl/>
        <w:shd w:val="clear" w:color="auto" w:fill="FFFFFF"/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（四）董事会基本情况</w:t>
      </w:r>
    </w:p>
    <w:p w14:paraId="772EBCB0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1.董事会职责</w:t>
      </w:r>
    </w:p>
    <w:p w14:paraId="26EC2EA2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董事会对股东会负责，是公司的经营决策主体，定战略、作决策、防风险，行使执行股东会决定，并向股东会报告工作；制订公司发展战略和发展规划；决定公司的经营计划和投资方案；制订公司的年度财务预算方案、决算方案；制订公司的利润分配方案和弥补亏损方案；制订公司增加或者减少注册资本方案；制订公司章程草案和公司章程的修改方案；决定公司内部管理机构的设置；按有关规定和程序，聘任或者解聘公司总经理，根据总经理的提名聘任或解聘副总经理、总会计师、总法律顾问等公司高级管理人员，按照有关规定，决定高级管理人员的经营业绩考核和薪酬等事项；决定公司固定资产、无形资产投资购买、出售、转让或处置的重大事项；决定公司的风险管理体系、内部控制体系、违规经营投资责任追究工作体系、法律合规管理体系，健全完善内部监督体系，推进加强法治建设实施；指导、检查和评估公司内部审计工作，审议公司内部审计报告，决定公司内部审计机构的负责人，建立审计部门向董事会负责的机制，董事会依法批准年度审计计划和重要审计报告等职权。</w:t>
      </w:r>
    </w:p>
    <w:p w14:paraId="77CB11BC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2.董事会组成</w:t>
      </w:r>
    </w:p>
    <w:p w14:paraId="2B254812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董事会下设战略、预算与资产管理委员会，提名委员会，薪酬与考核委员会，内控与风险管理委员会，审计委员会，根据董事会的授权，协助董事会履行职责。</w:t>
      </w:r>
    </w:p>
    <w:p w14:paraId="47E1A7DE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电科财务公司董事会结构合理。截至202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12月31日，董事会由9名成员组成，分别为董事长杨志军、董事刘盼盼、董事陈永红、董事陈玉立、董事王翎翎、董事邹建中、董事许建华、董事靳慧泉、职工董事毕文龙。董事由股东会选举，任期三年，从相关监管机构核准其任职资格之日起计算。董事任期届满，可连选连任，法律、法规、监管机构和公司章程有特别规定的除外。</w:t>
      </w:r>
    </w:p>
    <w:p w14:paraId="1E132C56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3.董事会工作情况</w:t>
      </w:r>
    </w:p>
    <w:p w14:paraId="0CEA335D">
      <w:pPr>
        <w:widowControl/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年电科财务公司董事会按照有关法律法规和公司章程规定，认真履行股东会赋予的职责，202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年分别组织召开了3次股东会、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10</w:t>
      </w:r>
      <w:r>
        <w:rPr>
          <w:rFonts w:hint="eastAsia" w:ascii="仿宋_GB2312" w:eastAsia="仿宋_GB2312" w:hAnsiTheme="majorEastAsia"/>
          <w:sz w:val="32"/>
          <w:szCs w:val="32"/>
        </w:rPr>
        <w:t>次董事会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（</w:t>
      </w:r>
      <w:r>
        <w:rPr>
          <w:rFonts w:hint="eastAsia" w:ascii="仿宋_GB2312" w:eastAsia="仿宋_GB2312" w:hAnsiTheme="majorEastAsia"/>
          <w:sz w:val="32"/>
          <w:szCs w:val="32"/>
        </w:rPr>
        <w:t>含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6</w:t>
      </w:r>
      <w:r>
        <w:rPr>
          <w:rFonts w:hint="eastAsia" w:ascii="仿宋_GB2312" w:eastAsia="仿宋_GB2312" w:hAnsiTheme="majorEastAsia"/>
          <w:sz w:val="32"/>
          <w:szCs w:val="32"/>
        </w:rPr>
        <w:t>次临时会议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）</w:t>
      </w:r>
      <w:r>
        <w:rPr>
          <w:rFonts w:hint="eastAsia" w:ascii="仿宋_GB2312" w:eastAsia="仿宋_GB2312" w:hAnsiTheme="majorEastAsia"/>
          <w:sz w:val="32"/>
          <w:szCs w:val="32"/>
        </w:rPr>
        <w:t>，审议通过了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47</w:t>
      </w:r>
      <w:r>
        <w:rPr>
          <w:rFonts w:hint="eastAsia" w:ascii="仿宋_GB2312" w:eastAsia="仿宋_GB2312" w:hAnsiTheme="majorEastAsia"/>
          <w:sz w:val="32"/>
          <w:szCs w:val="32"/>
        </w:rPr>
        <w:t>项议案。公司董事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会</w:t>
      </w:r>
      <w:r>
        <w:rPr>
          <w:rFonts w:hint="eastAsia" w:ascii="仿宋_GB2312" w:eastAsia="仿宋_GB2312" w:hAnsiTheme="majorEastAsia"/>
          <w:sz w:val="32"/>
          <w:szCs w:val="32"/>
        </w:rPr>
        <w:t>严格按照《公司章程》及《董事会工作规则》行使各项职权，确保了公司各项经营决策依法合规。公司全体董事恪尽职守，诚实守信，勤勉尽职，为董事会的科学决策和规范运作做了卓有成效的工作。</w:t>
      </w:r>
      <w:bookmarkEnd w:id="0"/>
    </w:p>
    <w:p w14:paraId="4EAD30AE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（五）审计委员会情况</w:t>
      </w:r>
    </w:p>
    <w:p w14:paraId="2EC5AFC0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电科财务公司目前将监事会职能转至审计委员会。</w:t>
      </w:r>
    </w:p>
    <w:p w14:paraId="75A6106E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1.审计委员会职责</w:t>
      </w:r>
    </w:p>
    <w:p w14:paraId="6FA7D4D4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审计委员会主要职责为审议公司内部审计工作计划，监督公司的内部审计制度及其实施；对经董事会审议决策的有关事项的实施情况进行监督；定期向职工大会述职和报告工作，按职工大会决议行使表决权；以及董事会授权的其他事宜。</w:t>
      </w:r>
    </w:p>
    <w:p w14:paraId="3924430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2.审计委员会工作情况</w:t>
      </w:r>
    </w:p>
    <w:p w14:paraId="3FB5C39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，审计委员会委员严格按照《中央企业董事会工作规则（试行）》《中国电子科技集团有限公司董事会审计与风险委员会（监督委员会）工作规则》《公司章程》及《审计委员会工作规则》等制度规定，积极履行职责，有效衔接监事会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职权</w:t>
      </w:r>
      <w:r>
        <w:rPr>
          <w:rFonts w:hint="eastAsia" w:ascii="仿宋_GB2312" w:eastAsia="仿宋_GB2312" w:hAnsiTheme="majorEastAsia"/>
          <w:sz w:val="32"/>
          <w:szCs w:val="32"/>
        </w:rPr>
        <w:t>。审计委员会以促进规范运作、风险防控为重点，对公司业务、财务状况以及高级管理层履职情况等进行监督，积极与公司管理层进行沟通，确保公司依法合规运作。</w:t>
      </w:r>
    </w:p>
    <w:p w14:paraId="64109CF2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年，审计委员会召开会议4次，审议通过了审计委员会年度工作报告、审计年度工作报告、修订《董事、监事、高管履职评价办法（试行）》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、修订《审计管理办法》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和2024年金融业务专项审计报告</w:t>
      </w:r>
      <w:r>
        <w:rPr>
          <w:rFonts w:hint="eastAsia" w:ascii="仿宋_GB2312" w:eastAsia="仿宋_GB2312" w:hAnsiTheme="majorEastAsia"/>
          <w:sz w:val="32"/>
          <w:szCs w:val="32"/>
        </w:rPr>
        <w:t>等议案，听取了内控体系评价工作报告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，2023年度董事、监事和经营管理层履职评价报告</w:t>
      </w:r>
      <w:r>
        <w:rPr>
          <w:rFonts w:hint="eastAsia" w:ascii="仿宋_GB2312" w:eastAsia="仿宋_GB2312" w:hAnsiTheme="majorEastAsia"/>
          <w:sz w:val="32"/>
          <w:szCs w:val="32"/>
        </w:rPr>
        <w:t>等议案。</w:t>
      </w:r>
    </w:p>
    <w:p w14:paraId="474A2BEE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3.人员构成情况</w:t>
      </w:r>
    </w:p>
    <w:p w14:paraId="553D5608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审计委员会共三位委员，分别为主任委员陈永红，委员陈玉立和委员邹建中。</w:t>
      </w:r>
    </w:p>
    <w:p w14:paraId="7D3F66F3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（六）高级管理人员情况</w:t>
      </w:r>
    </w:p>
    <w:p w14:paraId="41C032BB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1.高级管理层构成</w:t>
      </w:r>
    </w:p>
    <w:p w14:paraId="1FDA4713">
      <w:pPr>
        <w:spacing w:line="360" w:lineRule="auto"/>
        <w:ind w:firstLine="640" w:firstLineChars="200"/>
        <w:rPr>
          <w:rFonts w:hint="default" w:ascii="仿宋_GB2312" w:eastAsia="仿宋_GB2312" w:hAnsiTheme="majorEastAsia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截至202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年12月31日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电科财务公司高级管理层共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三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人，分别为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副总经理陈月旺、副总经理张守坤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和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总经理助理刘川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。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电科财务公司总经理于2025年1月21日起开始履职。</w:t>
      </w:r>
    </w:p>
    <w:p w14:paraId="655F2ACC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2.高级管理层职责</w:t>
      </w:r>
    </w:p>
    <w:p w14:paraId="3D42EDD3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高级管理层行使组织实施党委决定和董事会决议；拟订公司的战略和发展规划、经营计划，并组织实施；拟订并组织实施公司年度投资计划和投资方案，经董事会授权和董事长同意，批准相关费用支出；拟订公司内部管理机构设置方案；拟订公司经营管理相关制度；拟订公司年度财务预算方案、决算方案；拟订公司利润分配和弥补亏损方案；拟订公司风险管理体系方案、内部控制体系、违规经营投资责任追究工作体系，经董事会批准后组织实施。组织落实依法合规管理工作；协调、检查和督促各部门的生产经营和改革、管理工作；抓好公司安全生产、保密、质量、生态环保等方面的重要事项等职权。</w:t>
      </w:r>
    </w:p>
    <w:p w14:paraId="51CCAFF9">
      <w:pPr>
        <w:widowControl/>
        <w:shd w:val="clear" w:color="auto" w:fill="FFFFFF"/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（七）薪酬制度及当年董事和高级管理人员薪酬</w:t>
      </w:r>
    </w:p>
    <w:p w14:paraId="69316911">
      <w:pPr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1.薪酬制度</w:t>
      </w:r>
    </w:p>
    <w:p w14:paraId="657E8997">
      <w:pPr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电科财务公司建立《员工薪酬管理办法》和《中国电子科技财务有限公司高管薪酬绩效考核管理办法》等制度，规范员工及高管薪酬。</w:t>
      </w:r>
    </w:p>
    <w:p w14:paraId="0B1CC18C">
      <w:pPr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2.当年董事和高级管理人员薪酬</w:t>
      </w:r>
    </w:p>
    <w:p w14:paraId="70B8D5EF">
      <w:pPr>
        <w:shd w:val="clear" w:color="auto" w:fill="FFFFFF"/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电科财务公司外部董事由股东单位领导兼任，薪酬不计入财务公司薪酬体系中。公司董事长及高级管理人员202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年度薪酬构成项目为：基本工资、岗位工资、绩效工资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津补贴福利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和领导班子及领导班子成员个人考核优秀奖励。无其他货币性收入，不存在在其他关联方或单位领取薪酬情况。</w:t>
      </w:r>
    </w:p>
    <w:p w14:paraId="3374BC83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（八）组织架构情况</w:t>
      </w:r>
    </w:p>
    <w:p w14:paraId="252C44A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截至2024年12月31日</w:t>
      </w:r>
      <w:r>
        <w:rPr>
          <w:rFonts w:hint="eastAsia" w:ascii="仿宋_GB2312" w:eastAsia="仿宋_GB2312" w:hAnsiTheme="majorEastAsia"/>
          <w:sz w:val="32"/>
          <w:szCs w:val="32"/>
          <w:lang w:eastAsia="zh-CN"/>
        </w:rPr>
        <w:t>，</w:t>
      </w:r>
      <w:r>
        <w:rPr>
          <w:rFonts w:hint="eastAsia" w:ascii="仿宋_GB2312" w:eastAsia="仿宋_GB2312" w:hAnsiTheme="majorEastAsia"/>
          <w:sz w:val="32"/>
          <w:szCs w:val="32"/>
        </w:rPr>
        <w:t>电科财务公司按照决策系统、执行系统、监督反馈系统互相制衡的原则设置组织机构，共设置了司库部、金融服务中心、资金管理部、投资部、资金结算部、风险管理部、综合管理部、人力资源部、党群工作部、财务部、信息技术部、审计与纪检监察部等前、中、后台12个部门，组织机构的建设较为完善。</w:t>
      </w:r>
    </w:p>
    <w:p w14:paraId="47D10BAD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（九）外部审计报告</w:t>
      </w:r>
    </w:p>
    <w:p w14:paraId="47171216">
      <w:pPr>
        <w:spacing w:line="360" w:lineRule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4124325" cy="4339590"/>
            <wp:effectExtent l="0" t="0" r="0" b="3810"/>
            <wp:docPr id="1" name="图片 1" descr="07c8327c-ed23-4628-8c91-8ad55d301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c8327c-ed23-4628-8c91-8ad55d3012a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0631E">
      <w:pPr>
        <w:spacing w:line="360" w:lineRule="auto"/>
        <w:rPr>
          <w:rFonts w:hint="eastAsia" w:ascii="黑体" w:hAnsi="黑体" w:eastAsia="黑体"/>
          <w:sz w:val="32"/>
          <w:szCs w:val="32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5E852F8">
      <w:pPr>
        <w:spacing w:line="360" w:lineRule="auto"/>
        <w:rPr>
          <w:rFonts w:hint="eastAsia" w:ascii="黑体" w:hAnsi="黑体" w:eastAsia="黑体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268595" cy="6605270"/>
            <wp:effectExtent l="0" t="0" r="8255" b="5080"/>
            <wp:docPr id="2" name="图片 2" descr="905a90ece885d1b501fe75ceb8d50f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05a90ece885d1b501fe75ceb8d50f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85DC4">
      <w:pPr>
        <w:spacing w:line="360" w:lineRule="auto"/>
        <w:rPr>
          <w:rFonts w:hint="eastAsia" w:ascii="黑体" w:hAnsi="黑体" w:eastAsia="黑体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271135" cy="6463665"/>
            <wp:effectExtent l="0" t="0" r="5715" b="3810"/>
            <wp:docPr id="3" name="图片 3" descr="15e8cf479a5d5583221f7e27789088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e8cf479a5d5583221f7e27789088b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6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0305">
      <w:pPr>
        <w:spacing w:line="360" w:lineRule="auto"/>
        <w:rPr>
          <w:rFonts w:hint="eastAsia" w:ascii="黑体" w:hAnsi="黑体" w:eastAsia="黑体"/>
          <w:sz w:val="32"/>
          <w:szCs w:val="32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/>
          <w:sz w:val="32"/>
          <w:szCs w:val="32"/>
          <w:lang w:eastAsia="zh-CN"/>
        </w:rPr>
        <w:drawing>
          <wp:inline distT="0" distB="0" distL="114300" distR="114300">
            <wp:extent cx="5274310" cy="6419215"/>
            <wp:effectExtent l="0" t="0" r="2540" b="635"/>
            <wp:docPr id="4" name="图片 4" descr="79a16a2bf994a991a3f51bb59e6a4a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9a16a2bf994a991a3f51bb59e6a4a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414D0">
      <w:pPr>
        <w:spacing w:line="360" w:lineRule="auto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三、财务会计信息</w:t>
      </w:r>
    </w:p>
    <w:p w14:paraId="7A9E1859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由于电科集团为军工央企，暂不对外披露财务数据。</w:t>
      </w:r>
    </w:p>
    <w:p w14:paraId="3F7E2CBC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公司编制关联交易情况表，关联交易方为太极计算机股份有限公司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、中电科（北京）物业管理有限公司、中电科资产经营有限公司、中国电子科技集团公司第二十八研究所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val="en-US" w:eastAsia="zh-CN"/>
        </w:rPr>
        <w:t>和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中国司法大数据研究院有限公司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。</w:t>
      </w:r>
    </w:p>
    <w:p w14:paraId="318833D8">
      <w:pPr>
        <w:spacing w:line="360" w:lineRule="auto"/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drawing>
          <wp:inline distT="0" distB="0" distL="114300" distR="114300">
            <wp:extent cx="5071745" cy="6193155"/>
            <wp:effectExtent l="0" t="0" r="5080" b="7620"/>
            <wp:docPr id="5" name="图片 5" descr="f38fd63373d06afb9eab503249991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8fd63373d06afb9eab5032499915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61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00F59">
      <w:pPr>
        <w:spacing w:line="360" w:lineRule="auto"/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drawing>
          <wp:inline distT="0" distB="0" distL="114300" distR="114300">
            <wp:extent cx="5324475" cy="6563360"/>
            <wp:effectExtent l="0" t="0" r="0" b="8890"/>
            <wp:docPr id="6" name="图片 6" descr="156bdecb1855dd2f5de06b3d6fa084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6bdecb1855dd2f5de06b3d6fa0845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656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08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</w:rPr>
        <w:t>该报表已由大信会计师事务所进行专项审计，其审计意见为：在所有重大方面已在企业会计准则框架下，公允反映了贵公司202</w:t>
      </w: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4</w:t>
      </w:r>
      <w:r>
        <w:rPr>
          <w:rFonts w:hint="eastAsia" w:ascii="仿宋_GB2312" w:eastAsia="仿宋_GB2312" w:hAnsiTheme="majorEastAsia"/>
          <w:sz w:val="32"/>
          <w:szCs w:val="32"/>
        </w:rPr>
        <w:t>年度与中国电子科技集团有限公司合并范围内单位之间的关联交易、内部清欠情况以及关联交易抵消情况。</w:t>
      </w:r>
    </w:p>
    <w:p w14:paraId="10F3C6D9">
      <w:pPr>
        <w:spacing w:line="360" w:lineRule="auto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四、风险管理信息</w:t>
      </w:r>
    </w:p>
    <w:p w14:paraId="1DC5BBA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  <w:lang w:val="en-US" w:eastAsia="zh-CN"/>
        </w:rPr>
        <w:t>电科</w:t>
      </w:r>
      <w:r>
        <w:rPr>
          <w:rFonts w:hint="eastAsia" w:ascii="仿宋_GB2312" w:eastAsia="仿宋_GB2312" w:hAnsiTheme="majorEastAsia"/>
          <w:sz w:val="32"/>
          <w:szCs w:val="32"/>
        </w:rPr>
        <w:t>财务公司编制了一系列内部控制制度，构建了风险管理体系，各部门在其职责范围内建立了风险评估体系和项目责任管理制度，根据各项业务的特点制定各自的风险控制制度、标准化操作流程、作业标准和风险防范措施，各部门责任分离、相互监督，对操作中的各种风险进行预测、评估和控制。财务公司实行内部审计监督制度，设立对董事会负责的内部审计部门，建立了内部审计管理办法和操作规程，对公司的经济活动进行内部审计和监督。</w:t>
      </w:r>
    </w:p>
    <w:p w14:paraId="418E8370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（一）信贷业务管理</w:t>
      </w:r>
    </w:p>
    <w:p w14:paraId="09A8939C">
      <w:pPr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贷款的对象仅限于中国电子科技集团有限公司的成员单位。财务公司根据各类业务的不同特点制定了《综合授信管理办法》《授信业务担保管理办法》《流动资金贷款管理办法》《固定资产贷款管理办法》《境内并购贷款管理办法》《商业汇票业务管理办法》《贷后管理办法》等，规范了各类业务操作流程。</w:t>
      </w:r>
    </w:p>
    <w:p w14:paraId="0595B6EC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green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对保证担保、抵押担保、质押担保和保证金等不同信贷担保流程、管理要求进行了统一明确规定，办理担保遵循平等、自愿、公平和诚信原则；商业汇票承兑及贴现业务按照“统一授信、审贷分离、分级审批、责权分明”的原则办理。</w:t>
      </w:r>
    </w:p>
    <w:p w14:paraId="754EB83C">
      <w:pPr>
        <w:tabs>
          <w:tab w:val="center" w:pos="4396"/>
        </w:tabs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（二）资金管理</w:t>
      </w:r>
    </w:p>
    <w:p w14:paraId="08E154CE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严格遵守国家金融监督管理总局、人民银行及其他相关监管部门各项规章制度，制定《资金管理办法》《金融同业授信管理办法》《银行账户管理办法》等资金管理相关基础制度，以及《同业拆借业务管理办法》《银行间市场债权质押式回购管理办法》等业务管理办法，明确资金相关各项业务基本原则、决策流程、操作规范等要求，严格规范财务公司资金管理。</w:t>
      </w:r>
    </w:p>
    <w:p w14:paraId="1BDD7CC9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公司的资金管理坚持计划性、统一性、安全性、流动性和效益性的原则。计划性是指公司资金的筹集、使用实行计划管理；统一性是指按照公司的资金计划，对资金实行统一管理、统一调度；安全性是指保证资金的存放安全、结算安全和投放安全；流动性是指及时满足公司对资金的合理需求，用活资金，调拨合理；效益性是指高效规范运作资金，降低资金成本，积极为公司争取合理的经济效益。</w:t>
      </w:r>
    </w:p>
    <w:p w14:paraId="1B4D01F7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（三）投资业务管理</w:t>
      </w:r>
    </w:p>
    <w:p w14:paraId="1000B170">
      <w:pPr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财务公司制定了《金融证券投资业务基本制度》《公募基金投资管理办法》和《债券业务管理办法》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。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投资业务主要包括债券型基金投资、高等级债券投资等固定收益类有价证券投资。财务公司投资业务遵循以下原则：</w:t>
      </w:r>
    </w:p>
    <w:p w14:paraId="79C1371B">
      <w:pPr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（1）规范操作、防范风险的原则。证券投资业务的开展应严格遵守相关法律、法规、制度规定，谨慎甄选、规范操作。</w:t>
      </w:r>
    </w:p>
    <w:p w14:paraId="3C27A89D">
      <w:pPr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（2）团队合作、分工负责的原则。强调投资团队的整体合作意识，同时明确各项证券投资业务的主要负责人。</w:t>
      </w:r>
    </w:p>
    <w:p w14:paraId="4C6F7E6E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（四）结算业务管理</w:t>
      </w:r>
    </w:p>
    <w:p w14:paraId="2CD9328D">
      <w:pPr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制定了《结算账户管理办法》《存款业务管理办法》《结算业务管理办法》等资金结算业务相关制度及操作细则，对成员单位资金划转行为进行了明确规定。财务公司开展结算业务遵循以下原则：恪守信用，履约付款；谁的钱进谁的账，由谁支配；公司不垫款；存取自由，为客户保密；先存后用，不得透支。</w:t>
      </w:r>
    </w:p>
    <w:p w14:paraId="4E36D1B6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ascii="仿宋_GB2312" w:eastAsia="仿宋_GB2312" w:hAnsiTheme="majorEastAsia"/>
          <w:b/>
          <w:sz w:val="32"/>
          <w:szCs w:val="32"/>
          <w:highlight w:val="none"/>
        </w:rPr>
        <w:t>（五）</w:t>
      </w: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信息系统管理</w:t>
      </w:r>
    </w:p>
    <w:p w14:paraId="266B13E8">
      <w:pPr>
        <w:spacing w:line="360" w:lineRule="auto"/>
        <w:ind w:firstLine="640" w:firstLineChars="200"/>
        <w:rPr>
          <w:rFonts w:hint="eastAsia"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制定了《信息系统建设管理办法》《信息系统运行维护管理办法》《信息技术外包管理办法》等制度，规范核心业务系统的建设与管理，明确系统运维规程及职责，降低技术外包风险，确保系统安全、稳定、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高效地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运行，使系统</w:t>
      </w:r>
      <w:r>
        <w:rPr>
          <w:rFonts w:hint="eastAsia" w:ascii="仿宋_GB2312" w:eastAsia="仿宋_GB2312" w:hAnsiTheme="majorEastAsia"/>
          <w:sz w:val="32"/>
          <w:szCs w:val="32"/>
          <w:highlight w:val="none"/>
          <w:lang w:eastAsia="zh-CN"/>
        </w:rPr>
        <w:t>更好地</w:t>
      </w:r>
      <w:r>
        <w:rPr>
          <w:rFonts w:hint="eastAsia" w:ascii="仿宋_GB2312" w:eastAsia="仿宋_GB2312" w:hAnsiTheme="majorEastAsia"/>
          <w:sz w:val="32"/>
          <w:szCs w:val="32"/>
          <w:highlight w:val="none"/>
        </w:rPr>
        <w:t>服务于企业生产经营和管理。财务公司核心业务系统是由外包厂商开发交付的，并由其提供后续软件服务支持。截至报告公布前，财务公司核心业务系统运转正常，与外包厂商合作稳定。</w:t>
      </w:r>
    </w:p>
    <w:p w14:paraId="20B5DFBF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（六）审计稽核管理</w:t>
      </w:r>
    </w:p>
    <w:p w14:paraId="6CFC936D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green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制定了《内部审计管理基本制度》《内部控制评价管理办法》等内控审计类相关制度，健全内部审计体系，明确内部审计的职责、权限，规范内部审计工作。内部审计工作目标是，推动国家有关经济金融法律法规、方针政策、监管机构规章、集团公司规定及公司内部制度的贯彻执行；促进公司建立并持续完善有效的风险管理、内控合规和公司治理架构；督促相关审计对象有效履职，共同实现公司战略目标。</w:t>
      </w:r>
    </w:p>
    <w:p w14:paraId="12BA064E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（七）监管指标</w:t>
      </w:r>
    </w:p>
    <w:p w14:paraId="70617938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根据国家金融监督管理总局监督管理与风险控制要求，财务公司经营业务，严格遵守了下列资产负债比例的要求：</w:t>
      </w:r>
    </w:p>
    <w:p w14:paraId="218F39D7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1.资本充足率不低于最低监管要求；</w:t>
      </w:r>
    </w:p>
    <w:p w14:paraId="1DC09674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2.流动性比例不得低于25%；</w:t>
      </w:r>
    </w:p>
    <w:p w14:paraId="429E8832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3.贷款余额不得高于存款余额与实收资本之和的80%；</w:t>
      </w:r>
    </w:p>
    <w:p w14:paraId="44E919FE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4.集团外负债总额不得超过资本净额；</w:t>
      </w:r>
    </w:p>
    <w:p w14:paraId="22BE38AC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5.票据承兑余额不得超过资产总额的15%；</w:t>
      </w:r>
    </w:p>
    <w:p w14:paraId="7E79358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6.票据承兑余额不得高于存放同业余额的3倍；</w:t>
      </w:r>
    </w:p>
    <w:p w14:paraId="6FFB6A96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7.票据承兑和转贴现总额不得高于资本净额；</w:t>
      </w:r>
    </w:p>
    <w:p w14:paraId="44AEF740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8.承兑汇票保证金余额不得超过存款总额的10%；</w:t>
      </w:r>
    </w:p>
    <w:p w14:paraId="76138CEB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9.投资总额不得高于资本净额的70%；</w:t>
      </w:r>
    </w:p>
    <w:p w14:paraId="047A42CB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10.固定资产净额不得高于资本净额的20%。</w:t>
      </w:r>
    </w:p>
    <w:p w14:paraId="5F430051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  <w:highlight w:val="none"/>
        </w:rPr>
      </w:pPr>
      <w:r>
        <w:rPr>
          <w:rFonts w:hint="eastAsia" w:ascii="仿宋_GB2312" w:eastAsia="仿宋_GB2312" w:hAnsiTheme="majorEastAsia"/>
          <w:b/>
          <w:sz w:val="32"/>
          <w:szCs w:val="32"/>
          <w:highlight w:val="none"/>
        </w:rPr>
        <w:t>（八）风险管理总体评价</w:t>
      </w:r>
    </w:p>
    <w:p w14:paraId="7602C144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  <w:r>
        <w:rPr>
          <w:rFonts w:hint="eastAsia" w:ascii="仿宋_GB2312" w:eastAsia="仿宋_GB2312" w:hAnsiTheme="majorEastAsia"/>
          <w:sz w:val="32"/>
          <w:szCs w:val="32"/>
          <w:highlight w:val="none"/>
        </w:rPr>
        <w:t>财务公司具有合法有效的《金融许可证》《企业法人营业执照》，未发现财务公司存在违反国家金融监督管理总局颁布的《企业集团财务公司管理办法》规定情况。财务公司经营状况良好，各项业务均能严格按照内控制度和流程开展，内控制度较为完善且有效；各项监管指标均符合监管机构的要求；业务运营合法合规，管理制度健全，风险管理有效，与财务报表相关资金、信贷、投资、稽查、信息管理风险控制体系未发现存在重大缺陷。</w:t>
      </w:r>
    </w:p>
    <w:p w14:paraId="27CFE32F">
      <w:pPr>
        <w:spacing w:line="360" w:lineRule="auto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五、重大事项信息</w:t>
      </w:r>
    </w:p>
    <w:p w14:paraId="5D48CA68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（一）报告期内，无重大诉讼，仲裁事项。</w:t>
      </w:r>
    </w:p>
    <w:p w14:paraId="613C4563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（二）报告期内，未发生重大案件情况。</w:t>
      </w:r>
    </w:p>
    <w:p w14:paraId="4081E4FB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（三）报告期内，电科财务公司各项合同履行情况正常，无重大合同纠纷发生。</w:t>
      </w:r>
    </w:p>
    <w:p w14:paraId="7EB40A4A">
      <w:pPr>
        <w:spacing w:line="360" w:lineRule="auto"/>
        <w:ind w:firstLine="643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eastAsia="仿宋_GB2312" w:hAnsiTheme="majorEastAsia"/>
          <w:b/>
          <w:sz w:val="32"/>
          <w:szCs w:val="32"/>
        </w:rPr>
        <w:t>（四）报告期内，公司董事、高管人员未受到监管部门和司法部门处罚。</w:t>
      </w:r>
    </w:p>
    <w:p w14:paraId="4A529E3A">
      <w:pPr>
        <w:spacing w:line="360" w:lineRule="auto"/>
        <w:ind w:firstLine="640" w:firstLineChars="200"/>
        <w:rPr>
          <w:rFonts w:ascii="仿宋_GB2312" w:eastAsia="仿宋_GB2312" w:hAnsiTheme="majorEastAsia"/>
          <w:sz w:val="32"/>
          <w:szCs w:val="32"/>
        </w:rPr>
      </w:pPr>
    </w:p>
    <w:p w14:paraId="6B6F16C4">
      <w:pPr>
        <w:spacing w:line="360" w:lineRule="auto"/>
        <w:ind w:firstLine="640" w:firstLineChars="200"/>
        <w:rPr>
          <w:rFonts w:ascii="仿宋_GB2312" w:eastAsia="仿宋_GB2312" w:hAnsiTheme="majorEastAsia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特此报告。</w:t>
      </w:r>
    </w:p>
    <w:p w14:paraId="7CCE7434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62ECCA04">
      <w:pPr>
        <w:spacing w:after="156" w:afterLines="50" w:line="560" w:lineRule="exact"/>
        <w:jc w:val="right"/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中国电子科技财务有限公司</w:t>
      </w:r>
    </w:p>
    <w:p w14:paraId="6020DB55">
      <w:pPr>
        <w:spacing w:after="156" w:afterLines="50" w:line="560" w:lineRule="exact"/>
        <w:jc w:val="righ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2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02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5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10</w:t>
      </w:r>
      <w:r>
        <w:rPr>
          <w:rFonts w:ascii="仿宋_GB2312" w:hAnsi="仿宋_GB2312" w:eastAsia="仿宋_GB2312" w:cs="仿宋_GB2312"/>
          <w:color w:val="000000"/>
          <w:kern w:val="0"/>
          <w:sz w:val="32"/>
          <w:szCs w:val="32"/>
        </w:rPr>
        <w:t>日</w:t>
      </w:r>
    </w:p>
    <w:p w14:paraId="661CDF39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092213B9">
      <w:pPr>
        <w:spacing w:after="156" w:afterLines="50" w:line="560" w:lineRule="exact"/>
        <w:rPr>
          <w:rFonts w:asciiTheme="majorEastAsia" w:hAnsiTheme="majorEastAsia" w:eastAsiaTheme="majorEastAsia"/>
          <w:b/>
          <w:sz w:val="44"/>
          <w:szCs w:val="44"/>
        </w:rPr>
      </w:pPr>
    </w:p>
    <w:p w14:paraId="309DF7E5"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KSOF439EEF50">
    <w:panose1 w:val="02000000000000000000"/>
    <w:charset w:val="86"/>
    <w:family w:val="auto"/>
    <w:pitch w:val="default"/>
    <w:sig w:usb0="00000001" w:usb1="00000000" w:usb2="00000000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2C4FC4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C23E3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4C23E3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9AF"/>
    <w:rsid w:val="001B33D9"/>
    <w:rsid w:val="00282546"/>
    <w:rsid w:val="00682375"/>
    <w:rsid w:val="00942ED3"/>
    <w:rsid w:val="00DB29AF"/>
    <w:rsid w:val="02372857"/>
    <w:rsid w:val="097958CF"/>
    <w:rsid w:val="156B7CAF"/>
    <w:rsid w:val="2E797A33"/>
    <w:rsid w:val="311B60F4"/>
    <w:rsid w:val="35C024FF"/>
    <w:rsid w:val="35F13A8D"/>
    <w:rsid w:val="3F8F6D72"/>
    <w:rsid w:val="3FA83464"/>
    <w:rsid w:val="40AE7C64"/>
    <w:rsid w:val="42CC47C9"/>
    <w:rsid w:val="47262CD6"/>
    <w:rsid w:val="4E521FAF"/>
    <w:rsid w:val="52B9474D"/>
    <w:rsid w:val="5637733D"/>
    <w:rsid w:val="58934251"/>
    <w:rsid w:val="59451B0E"/>
    <w:rsid w:val="5A8A0828"/>
    <w:rsid w:val="66DA6E8D"/>
    <w:rsid w:val="68562C6A"/>
    <w:rsid w:val="6B6B2CD8"/>
    <w:rsid w:val="745A1D70"/>
    <w:rsid w:val="79B65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5794</Words>
  <Characters>6020</Characters>
  <Lines>47</Lines>
  <Paragraphs>13</Paragraphs>
  <TotalTime>5</TotalTime>
  <ScaleCrop>false</ScaleCrop>
  <LinksUpToDate>false</LinksUpToDate>
  <CharactersWithSpaces>6096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2024-04-29T02:12:00Z</dcterms:created>
  <dc:creator>Microsoft 帐户</dc:creator>
  <cp:lastModifiedBy>昂志  小仙儿~~</cp:lastModifiedBy>
  <cp:lastPrinted>2025-09-16T01:04:00Z</cp:lastPrinted>
  <dcterms:modified xsi:type="dcterms:W3CDTF">2025-12-17T10:00:49Z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EC64B5E010AB4D6D94751D027BF5CBBC_13</vt:lpwstr>
  </property>
  <property fmtid="{D5CDD505-2E9C-101B-9397-08002B2CF9AE}" pid="4" name="KSOTemplateDocerSaveRecord">
    <vt:lpwstr>eyJoZGlkIjoiMGZmNzEyMTNlMWQwZWJkNGJhMmI0MTA2MGI5ODhjYjIiLCJ1c2VySWQiOiI1MjQxMDMwNDcifQ==</vt:lpwstr>
  </property>
</Properties>
</file>